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30"/>
        <w:shd w:val="clear" w:color="auto" w:fill="auto"/>
        <w:spacing w:before="0" w:after="0" w:line="240" w:lineRule="auto"/>
        <w:ind w:left="181"/>
        <w:jc w:val="right"/>
        <w:rPr>
          <w:b w:val="0"/>
          <w:sz w:val="24"/>
          <w:szCs w:val="24"/>
        </w:rPr>
      </w:pPr>
      <w:bookmarkStart w:id="0" w:name="_GoBack"/>
      <w:bookmarkEnd w:id="0"/>
      <w:r>
        <w:rPr>
          <w:b w:val="0"/>
          <w:sz w:val="24"/>
          <w:szCs w:val="24"/>
        </w:rPr>
        <w:t>Приложение 5</w:t>
      </w:r>
    </w:p>
    <w:p>
      <w:pPr>
        <w:pStyle w:val="30"/>
        <w:shd w:val="clear" w:color="auto" w:fill="auto"/>
        <w:spacing w:before="0" w:after="0" w:line="240" w:lineRule="auto"/>
        <w:ind w:left="181"/>
      </w:pPr>
      <w:r>
        <w:rPr>
          <w:sz w:val="28"/>
          <w:szCs w:val="28"/>
        </w:rPr>
        <w:t>Требования для подключения АРМ пользователей</w:t>
      </w:r>
    </w:p>
    <w:p>
      <w:pPr>
        <w:pStyle w:val="30"/>
        <w:shd w:val="clear" w:color="auto" w:fill="auto"/>
        <w:spacing w:before="0" w:after="0" w:line="240" w:lineRule="auto"/>
        <w:ind w:left="181"/>
      </w:pPr>
      <w:r>
        <w:t>к государственной информационной системе «Единая информационно-аналитическая система бюджетного (бухгалтерского) учета»</w:t>
      </w:r>
    </w:p>
    <w:p>
      <w:pPr>
        <w:pStyle w:val="12"/>
      </w:pPr>
      <w:r>
        <w:t>Сокращения и обозначения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47"/>
        <w:gridCol w:w="7991"/>
      </w:tblGrid>
      <w:tr>
        <w:tc>
          <w:tcPr>
            <w:tcW w:w="1059" w:type="pct"/>
            <w:shd w:val="clear" w:color="auto" w:fill="auto"/>
          </w:tcPr>
          <w:p>
            <w:pPr>
              <w:spacing w:after="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АРМ</w:t>
            </w:r>
          </w:p>
        </w:tc>
        <w:tc>
          <w:tcPr>
            <w:tcW w:w="3941" w:type="pct"/>
            <w:shd w:val="clear" w:color="auto" w:fill="auto"/>
          </w:tcPr>
          <w:p>
            <w:pPr>
              <w:spacing w:after="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Автоматизированное рабочее место пользователя ЕИАСБУ</w:t>
            </w:r>
          </w:p>
        </w:tc>
      </w:tr>
      <w:tr>
        <w:trPr>
          <w:cantSplit/>
          <w:trHeight w:val="340"/>
        </w:trPr>
        <w:tc>
          <w:tcPr>
            <w:tcW w:w="1059" w:type="pct"/>
            <w:shd w:val="clear" w:color="auto" w:fill="auto"/>
          </w:tcPr>
          <w:p>
            <w:pPr>
              <w:spacing w:after="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ЕИАСБУ</w:t>
            </w:r>
          </w:p>
        </w:tc>
        <w:tc>
          <w:tcPr>
            <w:tcW w:w="3941" w:type="pct"/>
            <w:shd w:val="clear" w:color="auto" w:fill="auto"/>
          </w:tcPr>
          <w:p>
            <w:pPr>
              <w:spacing w:after="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информационная система Санкт-Петербурга «Единая информационно-аналитическая система бюджетного (бухгалтерского) учета»</w:t>
            </w:r>
          </w:p>
        </w:tc>
      </w:tr>
      <w:tr>
        <w:tc>
          <w:tcPr>
            <w:tcW w:w="1059" w:type="pct"/>
            <w:shd w:val="clear" w:color="auto" w:fill="auto"/>
          </w:tcPr>
          <w:p>
            <w:pPr>
              <w:spacing w:after="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ЕМТС</w:t>
            </w:r>
          </w:p>
        </w:tc>
        <w:tc>
          <w:tcPr>
            <w:tcW w:w="3941" w:type="pct"/>
            <w:shd w:val="clear" w:color="auto" w:fill="auto"/>
          </w:tcPr>
          <w:p>
            <w:pPr>
              <w:spacing w:after="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Единая мультисервисная телекоммуникационная сеть</w:t>
            </w:r>
          </w:p>
        </w:tc>
      </w:tr>
      <w:tr>
        <w:tc>
          <w:tcPr>
            <w:tcW w:w="1059" w:type="pct"/>
            <w:shd w:val="clear" w:color="auto" w:fill="auto"/>
          </w:tcPr>
          <w:p>
            <w:pPr>
              <w:spacing w:after="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ЗКС</w:t>
            </w:r>
          </w:p>
        </w:tc>
        <w:tc>
          <w:tcPr>
            <w:tcW w:w="3941" w:type="pct"/>
            <w:shd w:val="clear" w:color="auto" w:fill="auto"/>
          </w:tcPr>
          <w:p>
            <w:pPr>
              <w:spacing w:after="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Защищенная корпоративная сеть ИОГВ Санкт-Петербурга</w:t>
            </w:r>
          </w:p>
        </w:tc>
      </w:tr>
      <w:tr>
        <w:tc>
          <w:tcPr>
            <w:tcW w:w="1059" w:type="pct"/>
            <w:shd w:val="clear" w:color="auto" w:fill="auto"/>
          </w:tcPr>
          <w:p>
            <w:pPr>
              <w:spacing w:after="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НСД</w:t>
            </w:r>
          </w:p>
        </w:tc>
        <w:tc>
          <w:tcPr>
            <w:tcW w:w="3941" w:type="pct"/>
            <w:shd w:val="clear" w:color="auto" w:fill="auto"/>
          </w:tcPr>
          <w:p>
            <w:pPr>
              <w:spacing w:after="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Несанкционированный доступ</w:t>
            </w:r>
          </w:p>
        </w:tc>
      </w:tr>
      <w:tr>
        <w:tc>
          <w:tcPr>
            <w:tcW w:w="1059" w:type="pct"/>
            <w:shd w:val="clear" w:color="auto" w:fill="auto"/>
          </w:tcPr>
          <w:p>
            <w:pPr>
              <w:spacing w:after="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</w:t>
            </w:r>
          </w:p>
        </w:tc>
        <w:tc>
          <w:tcPr>
            <w:tcW w:w="3941" w:type="pct"/>
            <w:shd w:val="clear" w:color="auto" w:fill="auto"/>
          </w:tcPr>
          <w:p>
            <w:pPr>
              <w:spacing w:after="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Программное обеспечение</w:t>
            </w:r>
          </w:p>
        </w:tc>
      </w:tr>
      <w:tr>
        <w:trPr>
          <w:trHeight w:val="220"/>
        </w:trPr>
        <w:tc>
          <w:tcPr>
            <w:tcW w:w="1059" w:type="pct"/>
            <w:shd w:val="clear" w:color="auto" w:fill="auto"/>
          </w:tcPr>
          <w:p>
            <w:pPr>
              <w:spacing w:after="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РРЦОД</w:t>
            </w:r>
          </w:p>
        </w:tc>
        <w:tc>
          <w:tcPr>
            <w:tcW w:w="3941" w:type="pct"/>
            <w:shd w:val="clear" w:color="auto" w:fill="auto"/>
          </w:tcPr>
          <w:p>
            <w:pPr>
              <w:spacing w:after="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Распределенный региональный центр обработки данных </w:t>
            </w:r>
          </w:p>
        </w:tc>
      </w:tr>
      <w:tr>
        <w:trPr>
          <w:trHeight w:val="220"/>
        </w:trPr>
        <w:tc>
          <w:tcPr>
            <w:tcW w:w="1059" w:type="pct"/>
            <w:shd w:val="clear" w:color="auto" w:fill="auto"/>
          </w:tcPr>
          <w:p>
            <w:pPr>
              <w:spacing w:after="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СЗИ</w:t>
            </w:r>
            <w:r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941" w:type="pct"/>
            <w:shd w:val="clear" w:color="auto" w:fill="auto"/>
          </w:tcPr>
          <w:p>
            <w:pPr>
              <w:spacing w:after="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защиты информации</w:t>
            </w:r>
          </w:p>
        </w:tc>
      </w:tr>
      <w:tr>
        <w:trPr>
          <w:trHeight w:val="340"/>
        </w:trPr>
        <w:tc>
          <w:tcPr>
            <w:tcW w:w="1059" w:type="pct"/>
            <w:shd w:val="clear" w:color="auto" w:fill="auto"/>
          </w:tcPr>
          <w:p>
            <w:pPr>
              <w:spacing w:after="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СКЗИ</w:t>
            </w:r>
          </w:p>
        </w:tc>
        <w:tc>
          <w:tcPr>
            <w:tcW w:w="3941" w:type="pct"/>
            <w:shd w:val="clear" w:color="auto" w:fill="auto"/>
          </w:tcPr>
          <w:p>
            <w:pPr>
              <w:spacing w:after="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Средство криптографической защиты информации, шифровальное (криптографическое) средство</w:t>
            </w:r>
          </w:p>
        </w:tc>
      </w:tr>
    </w:tbl>
    <w:p>
      <w:pPr>
        <w:pStyle w:val="12"/>
      </w:pPr>
      <w:r>
        <w:t>ОБЩИЕ СВЕДЕНИЯ</w:t>
      </w:r>
    </w:p>
    <w:p>
      <w:pPr>
        <w:pStyle w:val="121"/>
      </w:pPr>
      <w:r>
        <w:t xml:space="preserve">Программное обеспечение ЕИАСБУ поддерживает работу через Интернет в модели сервиса, что подразумевает запуск программного обеспечения подсистем ЕИАСБУ не на компьютере пользователя, а через </w:t>
      </w:r>
      <w:proofErr w:type="spellStart"/>
      <w:r>
        <w:t>Web</w:t>
      </w:r>
      <w:proofErr w:type="spellEnd"/>
      <w:r>
        <w:t xml:space="preserve">-браузер с сайта («облачный» сервис), предоставляющего такой сервис. </w:t>
      </w:r>
    </w:p>
    <w:p>
      <w:pPr>
        <w:pStyle w:val="12"/>
      </w:pPr>
      <w:r>
        <w:t>1. ТРЕБОВАНИЯ К АРМ ПОЛЬЗОВАТЕЛЕЙ</w:t>
      </w:r>
    </w:p>
    <w:p>
      <w:pPr>
        <w:pStyle w:val="121"/>
      </w:pPr>
      <w:r>
        <w:t xml:space="preserve">Рабочие места пользователей должны быть оборудованы ПК на базе процессора </w:t>
      </w:r>
      <w:proofErr w:type="spellStart"/>
      <w:r>
        <w:t>IntelCore</w:t>
      </w:r>
      <w:proofErr w:type="spellEnd"/>
      <w:r>
        <w:t>/AMD или аналога с тактовой частотой не менее 1,80 ГГц оперативной памятью не менее 4 Гб.</w:t>
      </w:r>
    </w:p>
    <w:p>
      <w:pPr>
        <w:pStyle w:val="121"/>
      </w:pPr>
      <w:r>
        <w:t>АРМ должно работать с использованием одного из следующих вариантов ОС: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2"/>
        <w:gridCol w:w="3670"/>
        <w:gridCol w:w="3827"/>
      </w:tblGrid>
      <w:tr>
        <w:tc>
          <w:tcPr>
            <w:tcW w:w="2142" w:type="dxa"/>
            <w:vMerge w:val="restart"/>
            <w:shd w:val="clear" w:color="auto" w:fill="auto"/>
          </w:tcPr>
          <w:p>
            <w:pPr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Операционная система (ОС)</w:t>
            </w:r>
          </w:p>
        </w:tc>
        <w:tc>
          <w:tcPr>
            <w:tcW w:w="3670" w:type="dxa"/>
            <w:shd w:val="clear" w:color="auto" w:fill="auto"/>
          </w:tcPr>
          <w:p>
            <w:pPr>
              <w:rPr>
                <w:rFonts w:ascii="Times New Roman" w:eastAsia="Calibri" w:hAnsi="Times New Roman" w:cs="Times New Roman"/>
                <w:b/>
                <w:bCs/>
                <w:highlight w:val="yellow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</w:rPr>
              <w:t>Microsoft</w:t>
            </w:r>
            <w:proofErr w:type="spellEnd"/>
          </w:p>
        </w:tc>
        <w:tc>
          <w:tcPr>
            <w:tcW w:w="3827" w:type="dxa"/>
            <w:shd w:val="clear" w:color="auto" w:fill="auto"/>
          </w:tcPr>
          <w:p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</w:rPr>
              <w:t>Linux</w:t>
            </w:r>
            <w:proofErr w:type="spellEnd"/>
          </w:p>
        </w:tc>
      </w:tr>
      <w:tr>
        <w:tc>
          <w:tcPr>
            <w:tcW w:w="2142" w:type="dxa"/>
            <w:vMerge/>
            <w:shd w:val="clear" w:color="auto" w:fill="auto"/>
          </w:tcPr>
          <w:p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670" w:type="dxa"/>
            <w:shd w:val="clear" w:color="auto" w:fill="auto"/>
          </w:tcPr>
          <w:p>
            <w:pPr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Windows 10</w:t>
            </w:r>
          </w:p>
        </w:tc>
        <w:tc>
          <w:tcPr>
            <w:tcW w:w="3827" w:type="dxa"/>
            <w:shd w:val="clear" w:color="auto" w:fill="auto"/>
          </w:tcPr>
          <w:p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 xml:space="preserve">Ubuntu 16.04 </w:t>
            </w:r>
            <w:r>
              <w:rPr>
                <w:rFonts w:ascii="Times New Roman" w:eastAsia="Calibri" w:hAnsi="Times New Roman" w:cs="Times New Roman"/>
              </w:rPr>
              <w:t>и выше</w:t>
            </w:r>
          </w:p>
        </w:tc>
      </w:tr>
      <w:tr>
        <w:trPr>
          <w:trHeight w:val="265"/>
        </w:trPr>
        <w:tc>
          <w:tcPr>
            <w:tcW w:w="2142" w:type="dxa"/>
            <w:vMerge/>
            <w:shd w:val="clear" w:color="auto" w:fill="auto"/>
          </w:tcPr>
          <w:p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670" w:type="dxa"/>
            <w:shd w:val="clear" w:color="auto" w:fill="auto"/>
          </w:tcPr>
          <w:p>
            <w:pPr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Windows 8</w:t>
            </w:r>
          </w:p>
        </w:tc>
        <w:tc>
          <w:tcPr>
            <w:tcW w:w="3827" w:type="dxa"/>
            <w:shd w:val="clear" w:color="auto" w:fill="auto"/>
          </w:tcPr>
          <w:p>
            <w:pPr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val="en-US"/>
              </w:rPr>
              <w:t>CentOs</w:t>
            </w:r>
            <w:proofErr w:type="spellEnd"/>
            <w:r>
              <w:rPr>
                <w:rFonts w:ascii="Times New Roman" w:eastAsia="Calibri" w:hAnsi="Times New Roman" w:cs="Times New Roman"/>
                <w:lang w:val="en-US"/>
              </w:rPr>
              <w:t xml:space="preserve"> 7.2 </w:t>
            </w:r>
            <w:r>
              <w:rPr>
                <w:rFonts w:ascii="Times New Roman" w:eastAsia="Calibri" w:hAnsi="Times New Roman" w:cs="Times New Roman"/>
              </w:rPr>
              <w:t>и выше</w:t>
            </w:r>
          </w:p>
        </w:tc>
      </w:tr>
    </w:tbl>
    <w:p>
      <w:pPr>
        <w:pStyle w:val="12"/>
      </w:pPr>
      <w:r>
        <w:t>2. ТРЕБОВАНИЯ К ОСНАЩЕННОСТИ АРМ СРЕДСТВАМИ ЗАЩИТЫ ИНФОРМАЦИИ</w:t>
      </w:r>
    </w:p>
    <w:p>
      <w:pPr>
        <w:pStyle w:val="121"/>
      </w:pPr>
      <w:r>
        <w:t>Для работы АРМ пользователя с компонентами системы ЕАИСБУ требуется:</w:t>
      </w:r>
    </w:p>
    <w:p>
      <w:pPr>
        <w:pStyle w:val="121"/>
      </w:pPr>
      <w:r>
        <w:t>1. Применять программные средства защиты от воздействия вредоносного кода не ниже 5 класса защищенности по типу Г, такие как: «</w:t>
      </w:r>
      <w:proofErr w:type="spellStart"/>
      <w:r>
        <w:t>KasperskyEndpointSecurity</w:t>
      </w:r>
      <w:proofErr w:type="spellEnd"/>
      <w:r>
        <w:t>»;</w:t>
      </w:r>
    </w:p>
    <w:p>
      <w:pPr>
        <w:pStyle w:val="121"/>
      </w:pPr>
      <w:r>
        <w:t>2. В случае, если АРМ пользователя не подключен к ЗКС, применять один из следующих вариантов СКЗИ для подключения отдельных АРМ к ЕИАСБУ посредствам ЗКС:</w:t>
      </w:r>
    </w:p>
    <w:p>
      <w:pPr>
        <w:pStyle w:val="121"/>
        <w:numPr>
          <w:ilvl w:val="0"/>
          <w:numId w:val="1"/>
        </w:numPr>
      </w:pPr>
      <w:r>
        <w:t xml:space="preserve">СКЗИ </w:t>
      </w:r>
      <w:proofErr w:type="spellStart"/>
      <w:r>
        <w:rPr>
          <w:lang w:val="en-US"/>
        </w:rPr>
        <w:t>VipNetClient</w:t>
      </w:r>
      <w:proofErr w:type="spellEnd"/>
      <w:r>
        <w:t>4.0 (КС3) (установленное на АРМ пользователей);</w:t>
      </w:r>
    </w:p>
    <w:p>
      <w:pPr>
        <w:pStyle w:val="121"/>
        <w:numPr>
          <w:ilvl w:val="0"/>
          <w:numId w:val="1"/>
        </w:numPr>
      </w:pPr>
      <w:r>
        <w:t xml:space="preserve">ПО Застава-Клиент и </w:t>
      </w:r>
      <w:proofErr w:type="spellStart"/>
      <w:r>
        <w:t>СКЗИКриптоПро</w:t>
      </w:r>
      <w:proofErr w:type="spellEnd"/>
      <w:r>
        <w:t xml:space="preserve"> CSP 4.0 (КС3) (установленные на АРМ пользователей).</w:t>
      </w:r>
    </w:p>
    <w:p>
      <w:pPr>
        <w:pStyle w:val="121"/>
      </w:pPr>
      <w:r>
        <w:t xml:space="preserve">3. Применять СЗИ от НСД </w:t>
      </w:r>
      <w:proofErr w:type="spellStart"/>
      <w:r>
        <w:t>DallasLock</w:t>
      </w:r>
      <w:proofErr w:type="spellEnd"/>
      <w:r>
        <w:t xml:space="preserve"> 8.0.-C;</w:t>
      </w:r>
    </w:p>
    <w:p>
      <w:pPr>
        <w:pStyle w:val="12"/>
        <w:ind w:left="1069"/>
      </w:pPr>
      <w:r>
        <w:t>3. ТРЕБОВАНИЯ К КАНАЛУ СВЯЗИ</w:t>
      </w:r>
    </w:p>
    <w:p>
      <w:pPr>
        <w:pStyle w:val="121"/>
      </w:pPr>
      <w:r>
        <w:t>Подключение пользователя к ЕИАСБУ осуществляется только через ЕМТС. Для обеспечения работоспособности рекомендуется иметь пропускную способность канала связи между ПК пользователя и РРЦОД через ЕМТС не менее 1 Мбит/сек.</w:t>
      </w:r>
    </w:p>
    <w:p>
      <w:pPr>
        <w:pStyle w:val="121"/>
      </w:pPr>
    </w:p>
    <w:p>
      <w:pPr>
        <w:pStyle w:val="12"/>
        <w:ind w:left="1069"/>
      </w:pPr>
      <w:r>
        <w:t xml:space="preserve">4. ОФОРМЛЕНИЕ ДОСТУПА К ЕИАСБУ </w:t>
      </w:r>
    </w:p>
    <w:p>
      <w:pPr>
        <w:pStyle w:val="121"/>
      </w:pPr>
      <w:r>
        <w:lastRenderedPageBreak/>
        <w:t>Оформление доступа к ЕИАСБУ производится учреждением для всех АРМ пользователей учреждения с использованием государственной информационной системы Санкт-Петербурга «Система формирования и учета проектов».</w:t>
      </w:r>
    </w:p>
    <w:p>
      <w:pPr>
        <w:pStyle w:val="121"/>
      </w:pPr>
      <w:r>
        <w:t xml:space="preserve">Заявку на подключение требуется оформить, скачав по ссылке </w:t>
      </w:r>
      <w:hyperlink r:id="rId8" w:history="1">
        <w:r>
          <w:rPr>
            <w:rStyle w:val="a3"/>
          </w:rPr>
          <w:t>http://tz.kis.gov.spb.ru/</w:t>
        </w:r>
      </w:hyperlink>
      <w:r>
        <w:t>, в разделе 4.2.1 «Сервисы ЕМТС», подразделе 6 «Шаблон заявки на ЕИАСБУ».</w:t>
      </w:r>
    </w:p>
    <w:p>
      <w:pPr>
        <w:pStyle w:val="121"/>
        <w:ind w:firstLine="0"/>
      </w:pPr>
      <w:r>
        <w:rPr>
          <w:noProof/>
          <w:lang w:bidi="ar-SA"/>
        </w:rPr>
        <w:drawing>
          <wp:inline distT="0" distB="0" distL="0" distR="0">
            <wp:extent cx="6120130" cy="533908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9.04.04 СФУП. Экран доступа к шаблону заявки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33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21"/>
      </w:pPr>
    </w:p>
    <w:p>
      <w:pPr>
        <w:pStyle w:val="121"/>
      </w:pPr>
      <w:r>
        <w:t>В заявке для доступа необходимо указывать IP-адреса сервиса и порты:</w:t>
      </w:r>
    </w:p>
    <w:p>
      <w:pPr>
        <w:pStyle w:val="121"/>
      </w:pPr>
    </w:p>
    <w:p>
      <w:pPr>
        <w:pStyle w:val="121"/>
      </w:pPr>
      <w:r>
        <w:t>Для учреждений, использующих ПО 1С: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4111"/>
        <w:gridCol w:w="2552"/>
        <w:gridCol w:w="2976"/>
      </w:tblGrid>
      <w:tr>
        <w:tc>
          <w:tcPr>
            <w:tcW w:w="4111" w:type="dxa"/>
          </w:tcPr>
          <w:p>
            <w:pPr>
              <w:pStyle w:val="121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подсистем (блоков)</w:t>
            </w:r>
          </w:p>
        </w:tc>
        <w:tc>
          <w:tcPr>
            <w:tcW w:w="2552" w:type="dxa"/>
          </w:tcPr>
          <w:p>
            <w:pPr>
              <w:pStyle w:val="121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IP</w:t>
            </w:r>
            <w:r>
              <w:rPr>
                <w:b/>
                <w:sz w:val="22"/>
                <w:szCs w:val="22"/>
              </w:rPr>
              <w:t>-адреса сервиса</w:t>
            </w:r>
          </w:p>
        </w:tc>
        <w:tc>
          <w:tcPr>
            <w:tcW w:w="2976" w:type="dxa"/>
          </w:tcPr>
          <w:p>
            <w:pPr>
              <w:pStyle w:val="121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Порты</w:t>
            </w:r>
          </w:p>
        </w:tc>
      </w:tr>
      <w:tr>
        <w:tc>
          <w:tcPr>
            <w:tcW w:w="4111" w:type="dxa"/>
          </w:tcPr>
          <w:p>
            <w:pPr>
              <w:pStyle w:val="121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БГУ и (или) ЗКГУ</w:t>
            </w:r>
          </w:p>
        </w:tc>
        <w:tc>
          <w:tcPr>
            <w:tcW w:w="2552" w:type="dxa"/>
          </w:tcPr>
          <w:p>
            <w:pPr>
              <w:pStyle w:val="121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10.146.141.80</w:t>
            </w:r>
          </w:p>
        </w:tc>
        <w:tc>
          <w:tcPr>
            <w:tcW w:w="2976" w:type="dxa"/>
          </w:tcPr>
          <w:p>
            <w:pPr>
              <w:pStyle w:val="121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 8080, 443, 1540-1600</w:t>
            </w:r>
          </w:p>
        </w:tc>
      </w:tr>
      <w:tr>
        <w:tc>
          <w:tcPr>
            <w:tcW w:w="4111" w:type="dxa"/>
          </w:tcPr>
          <w:p>
            <w:pPr>
              <w:pStyle w:val="121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Планирование ФХД</w:t>
            </w:r>
          </w:p>
        </w:tc>
        <w:tc>
          <w:tcPr>
            <w:tcW w:w="2552" w:type="dxa"/>
          </w:tcPr>
          <w:p>
            <w:pPr>
              <w:pStyle w:val="121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10.146.141.80</w:t>
            </w:r>
          </w:p>
        </w:tc>
        <w:tc>
          <w:tcPr>
            <w:tcW w:w="2976" w:type="dxa"/>
          </w:tcPr>
          <w:p>
            <w:pPr>
              <w:pStyle w:val="121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 8080, 443, 1540-1600</w:t>
            </w:r>
          </w:p>
        </w:tc>
      </w:tr>
      <w:tr>
        <w:tc>
          <w:tcPr>
            <w:tcW w:w="4111" w:type="dxa"/>
          </w:tcPr>
          <w:p>
            <w:pPr>
              <w:pStyle w:val="121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Аналитическая подсистема</w:t>
            </w:r>
          </w:p>
        </w:tc>
        <w:tc>
          <w:tcPr>
            <w:tcW w:w="2552" w:type="dxa"/>
          </w:tcPr>
          <w:p>
            <w:pPr>
              <w:pStyle w:val="121"/>
              <w:ind w:firstLine="0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10.146.140.108</w:t>
            </w:r>
          </w:p>
          <w:p>
            <w:pPr>
              <w:pStyle w:val="121"/>
              <w:ind w:firstLine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shd w:val="clear" w:color="auto" w:fill="FFFFFF"/>
              </w:rPr>
              <w:t>10.146.140.109</w:t>
            </w:r>
          </w:p>
        </w:tc>
        <w:tc>
          <w:tcPr>
            <w:tcW w:w="2976" w:type="dxa"/>
          </w:tcPr>
          <w:p>
            <w:pPr>
              <w:pStyle w:val="121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80, 8080, 443</w:t>
            </w:r>
          </w:p>
        </w:tc>
      </w:tr>
      <w:tr>
        <w:tc>
          <w:tcPr>
            <w:tcW w:w="4111" w:type="dxa"/>
          </w:tcPr>
          <w:p>
            <w:pPr>
              <w:pStyle w:val="121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Система дистанционного обучения</w:t>
            </w:r>
          </w:p>
        </w:tc>
        <w:tc>
          <w:tcPr>
            <w:tcW w:w="2552" w:type="dxa"/>
          </w:tcPr>
          <w:p>
            <w:pPr>
              <w:pStyle w:val="121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10.146.141.80</w:t>
            </w:r>
          </w:p>
        </w:tc>
        <w:tc>
          <w:tcPr>
            <w:tcW w:w="2976" w:type="dxa"/>
          </w:tcPr>
          <w:p>
            <w:pPr>
              <w:pStyle w:val="121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 8080, 443, 1540-1600</w:t>
            </w:r>
          </w:p>
        </w:tc>
      </w:tr>
    </w:tbl>
    <w:p>
      <w:pPr>
        <w:pStyle w:val="121"/>
      </w:pPr>
    </w:p>
    <w:p>
      <w:pPr>
        <w:pStyle w:val="121"/>
      </w:pPr>
      <w:r>
        <w:t>Для учреждений, использующих ПО Парус: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4111"/>
        <w:gridCol w:w="2552"/>
        <w:gridCol w:w="2976"/>
      </w:tblGrid>
      <w:tr>
        <w:tc>
          <w:tcPr>
            <w:tcW w:w="4111" w:type="dxa"/>
            <w:shd w:val="clear" w:color="auto" w:fill="auto"/>
          </w:tcPr>
          <w:p>
            <w:pPr>
              <w:pStyle w:val="121"/>
              <w:ind w:firstLine="0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Наименование подсистем (блоков)</w:t>
            </w:r>
          </w:p>
        </w:tc>
        <w:tc>
          <w:tcPr>
            <w:tcW w:w="2552" w:type="dxa"/>
            <w:shd w:val="clear" w:color="auto" w:fill="auto"/>
          </w:tcPr>
          <w:p>
            <w:pPr>
              <w:pStyle w:val="121"/>
              <w:ind w:firstLine="0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  <w:lang w:val="en-US"/>
              </w:rPr>
              <w:t>IP</w:t>
            </w:r>
            <w:r>
              <w:rPr>
                <w:b/>
                <w:color w:val="auto"/>
                <w:sz w:val="22"/>
                <w:szCs w:val="22"/>
              </w:rPr>
              <w:t>-адреса сервиса</w:t>
            </w:r>
          </w:p>
        </w:tc>
        <w:tc>
          <w:tcPr>
            <w:tcW w:w="2976" w:type="dxa"/>
            <w:shd w:val="clear" w:color="auto" w:fill="auto"/>
          </w:tcPr>
          <w:p>
            <w:pPr>
              <w:pStyle w:val="121"/>
              <w:ind w:firstLine="0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Порты</w:t>
            </w:r>
          </w:p>
        </w:tc>
      </w:tr>
      <w:tr>
        <w:tc>
          <w:tcPr>
            <w:tcW w:w="4111" w:type="dxa"/>
            <w:shd w:val="clear" w:color="auto" w:fill="auto"/>
          </w:tcPr>
          <w:p>
            <w:pPr>
              <w:pStyle w:val="121"/>
              <w:ind w:firstLine="0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Парус-Бюджет 8 </w:t>
            </w:r>
            <w:r>
              <w:rPr>
                <w:color w:val="auto"/>
                <w:sz w:val="22"/>
                <w:szCs w:val="22"/>
                <w:lang w:val="en-US"/>
              </w:rPr>
              <w:t>(Web-</w:t>
            </w:r>
            <w:r>
              <w:rPr>
                <w:color w:val="auto"/>
                <w:sz w:val="22"/>
                <w:szCs w:val="22"/>
              </w:rPr>
              <w:t>клиент)*</w:t>
            </w:r>
          </w:p>
        </w:tc>
        <w:tc>
          <w:tcPr>
            <w:tcW w:w="2552" w:type="dxa"/>
            <w:shd w:val="clear" w:color="auto" w:fill="auto"/>
          </w:tcPr>
          <w:p>
            <w:pPr>
              <w:pStyle w:val="121"/>
              <w:ind w:firstLine="0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10.146.142.250</w:t>
            </w:r>
          </w:p>
        </w:tc>
        <w:tc>
          <w:tcPr>
            <w:tcW w:w="2976" w:type="dxa"/>
            <w:shd w:val="clear" w:color="auto" w:fill="auto"/>
          </w:tcPr>
          <w:p>
            <w:pPr>
              <w:pStyle w:val="121"/>
              <w:ind w:firstLine="0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80</w:t>
            </w:r>
          </w:p>
        </w:tc>
      </w:tr>
      <w:tr>
        <w:tc>
          <w:tcPr>
            <w:tcW w:w="4111" w:type="dxa"/>
            <w:shd w:val="clear" w:color="auto" w:fill="auto"/>
          </w:tcPr>
          <w:p>
            <w:pPr>
              <w:pStyle w:val="121"/>
              <w:ind w:firstLine="0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Парус-Бюджет 8 (Тонкий клиент)**</w:t>
            </w:r>
          </w:p>
        </w:tc>
        <w:tc>
          <w:tcPr>
            <w:tcW w:w="2552" w:type="dxa"/>
            <w:shd w:val="clear" w:color="auto" w:fill="auto"/>
          </w:tcPr>
          <w:p>
            <w:pPr>
              <w:pStyle w:val="121"/>
              <w:ind w:firstLine="0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Уточняется</w:t>
            </w:r>
          </w:p>
        </w:tc>
        <w:tc>
          <w:tcPr>
            <w:tcW w:w="2976" w:type="dxa"/>
            <w:shd w:val="clear" w:color="auto" w:fill="auto"/>
          </w:tcPr>
          <w:p>
            <w:pPr>
              <w:pStyle w:val="121"/>
              <w:ind w:firstLine="0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Уточняется</w:t>
            </w:r>
          </w:p>
        </w:tc>
      </w:tr>
      <w:tr>
        <w:tc>
          <w:tcPr>
            <w:tcW w:w="4111" w:type="dxa"/>
            <w:shd w:val="clear" w:color="auto" w:fill="auto"/>
          </w:tcPr>
          <w:p>
            <w:pPr>
              <w:pStyle w:val="121"/>
              <w:ind w:firstLine="0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Планирование ФХД</w:t>
            </w:r>
          </w:p>
        </w:tc>
        <w:tc>
          <w:tcPr>
            <w:tcW w:w="2552" w:type="dxa"/>
            <w:shd w:val="clear" w:color="auto" w:fill="auto"/>
          </w:tcPr>
          <w:p>
            <w:pPr>
              <w:pStyle w:val="121"/>
              <w:ind w:firstLine="0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10.146.141.80</w:t>
            </w:r>
          </w:p>
        </w:tc>
        <w:tc>
          <w:tcPr>
            <w:tcW w:w="2976" w:type="dxa"/>
            <w:shd w:val="clear" w:color="auto" w:fill="auto"/>
          </w:tcPr>
          <w:p>
            <w:pPr>
              <w:pStyle w:val="121"/>
              <w:ind w:firstLine="0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80, 443, 1540-1600</w:t>
            </w:r>
          </w:p>
        </w:tc>
      </w:tr>
      <w:tr>
        <w:tc>
          <w:tcPr>
            <w:tcW w:w="4111" w:type="dxa"/>
            <w:shd w:val="clear" w:color="auto" w:fill="auto"/>
          </w:tcPr>
          <w:p>
            <w:pPr>
              <w:pStyle w:val="121"/>
              <w:ind w:firstLine="0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Аналитическая подсистема</w:t>
            </w:r>
          </w:p>
        </w:tc>
        <w:tc>
          <w:tcPr>
            <w:tcW w:w="2552" w:type="dxa"/>
            <w:shd w:val="clear" w:color="auto" w:fill="auto"/>
          </w:tcPr>
          <w:p>
            <w:pPr>
              <w:pStyle w:val="121"/>
              <w:ind w:firstLine="0"/>
              <w:rPr>
                <w:color w:val="auto"/>
                <w:sz w:val="22"/>
                <w:szCs w:val="22"/>
                <w:shd w:val="clear" w:color="auto" w:fill="FFFFFF"/>
              </w:rPr>
            </w:pPr>
            <w:r>
              <w:rPr>
                <w:color w:val="auto"/>
                <w:sz w:val="22"/>
                <w:szCs w:val="22"/>
                <w:shd w:val="clear" w:color="auto" w:fill="FFFFFF"/>
              </w:rPr>
              <w:t>10.146.140.108</w:t>
            </w:r>
          </w:p>
          <w:p>
            <w:pPr>
              <w:pStyle w:val="121"/>
              <w:ind w:firstLine="0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10.146.140.109</w:t>
            </w:r>
          </w:p>
        </w:tc>
        <w:tc>
          <w:tcPr>
            <w:tcW w:w="2976" w:type="dxa"/>
            <w:shd w:val="clear" w:color="auto" w:fill="auto"/>
          </w:tcPr>
          <w:p>
            <w:pPr>
              <w:pStyle w:val="121"/>
              <w:ind w:firstLine="0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80, 8080, 443</w:t>
            </w:r>
          </w:p>
        </w:tc>
      </w:tr>
      <w:tr>
        <w:tc>
          <w:tcPr>
            <w:tcW w:w="4111" w:type="dxa"/>
            <w:shd w:val="clear" w:color="auto" w:fill="auto"/>
          </w:tcPr>
          <w:p>
            <w:pPr>
              <w:pStyle w:val="121"/>
              <w:ind w:firstLine="0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Система дистанционного обучения</w:t>
            </w:r>
          </w:p>
        </w:tc>
        <w:tc>
          <w:tcPr>
            <w:tcW w:w="2552" w:type="dxa"/>
            <w:shd w:val="clear" w:color="auto" w:fill="auto"/>
          </w:tcPr>
          <w:p>
            <w:pPr>
              <w:pStyle w:val="121"/>
              <w:ind w:firstLine="0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10.146.141.80</w:t>
            </w:r>
          </w:p>
        </w:tc>
        <w:tc>
          <w:tcPr>
            <w:tcW w:w="2976" w:type="dxa"/>
            <w:shd w:val="clear" w:color="auto" w:fill="auto"/>
          </w:tcPr>
          <w:p>
            <w:pPr>
              <w:pStyle w:val="121"/>
              <w:ind w:firstLine="0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80, 443, 1540-1600</w:t>
            </w:r>
          </w:p>
        </w:tc>
      </w:tr>
    </w:tbl>
    <w:p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*Для всех подключаемых к ЕИАСБУ учреждений, ведущих бюджетный (бухгалтерский) учет самостоятельно</w:t>
      </w:r>
    </w:p>
    <w:p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**Для централизованных бухгалтерий</w:t>
      </w:r>
    </w:p>
    <w:sectPr>
      <w:headerReference w:type="even" r:id="rId10"/>
      <w:headerReference w:type="default" r:id="rId11"/>
      <w:footerReference w:type="default" r:id="rId12"/>
      <w:footerReference w:type="first" r:id="rId13"/>
      <w:pgSz w:w="11907" w:h="16840" w:code="9"/>
      <w:pgMar w:top="680" w:right="851" w:bottom="567" w:left="1134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-433441114"/>
      <w:docPartObj>
        <w:docPartGallery w:val="Page Numbers (Bottom of Page)"/>
        <w:docPartUnique/>
      </w:docPartObj>
    </w:sdtPr>
    <w:sdtContent>
      <w:p>
        <w:pPr>
          <w:pStyle w:val="a6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05151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>
        <w:pPr>
          <w:pStyle w:val="a6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>
              <wp:simplePos x="0" y="0"/>
              <wp:positionH relativeFrom="page">
                <wp:posOffset>4020820</wp:posOffset>
              </wp:positionH>
              <wp:positionV relativeFrom="page">
                <wp:posOffset>719455</wp:posOffset>
              </wp:positionV>
              <wp:extent cx="54610" cy="123825"/>
              <wp:effectExtent l="0" t="0" r="2540" b="9525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610" cy="123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>
                          <w:pPr>
                            <w:pStyle w:val="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Fonts w:eastAsia="Courier New"/>
                            </w:rP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rPr>
                              <w:rFonts w:eastAsia="Courier New"/>
                            </w:rPr>
                            <w:fldChar w:fldCharType="separate"/>
                          </w:r>
                          <w:r>
                            <w:rPr>
                              <w:rStyle w:val="a5"/>
                              <w:rFonts w:eastAsia="Courier New"/>
                              <w:noProof/>
                            </w:rPr>
                            <w:t>2</w:t>
                          </w:r>
                          <w:r>
                            <w:rPr>
                              <w:rStyle w:val="a5"/>
                              <w:rFonts w:eastAsia="Courier New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BFFC91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16.6pt;margin-top:56.65pt;width:4.3pt;height:9.7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" filled="f" stroked="f">
              <v:textbox style="mso-fit-shape-to-text:t" inset="0,0,0,0">
                <w:txbxContent>
                  <w:p w:rsidR="00714FA6" w:rsidRDefault="00246FE2">
                    <w:pPr>
                      <w:pStyle w:val="0"/>
                      <w:shd w:val="clear" w:color="auto" w:fill="auto"/>
                      <w:spacing w:line="240" w:lineRule="auto"/>
                    </w:pPr>
                    <w:r>
                      <w:rPr>
                        <w:rFonts w:eastAsia="Courier New"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rPr>
                        <w:rFonts w:eastAsia="Courier New"/>
                      </w:rPr>
                      <w:fldChar w:fldCharType="separate"/>
                    </w:r>
                    <w:r w:rsidRPr="007A60C5">
                      <w:rPr>
                        <w:rStyle w:val="a5"/>
                        <w:rFonts w:eastAsia="Courier New"/>
                        <w:noProof/>
                      </w:rPr>
                      <w:t>2</w:t>
                    </w:r>
                    <w:r>
                      <w:rPr>
                        <w:rStyle w:val="a5"/>
                        <w:rFonts w:eastAsia="Courier New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0288" behindDoc="1" locked="0" layoutInCell="1" allowOverlap="1">
              <wp:simplePos x="0" y="0"/>
              <wp:positionH relativeFrom="page">
                <wp:posOffset>4020820</wp:posOffset>
              </wp:positionH>
              <wp:positionV relativeFrom="page">
                <wp:posOffset>719455</wp:posOffset>
              </wp:positionV>
              <wp:extent cx="49530" cy="123825"/>
              <wp:effectExtent l="0" t="0" r="7620" b="9525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530" cy="123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>
                          <w:pPr>
                            <w:pStyle w:val="0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A5295E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316.6pt;margin-top:56.65pt;width:3.9pt;height:9.7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" filled="f" stroked="f">
              <v:textbox style="mso-fit-shape-to-text:t" inset="0,0,0,0">
                <w:txbxContent>
                  <w:p w:rsidR="00714FA6" w:rsidRDefault="00F84F19">
                    <w:pPr>
                      <w:pStyle w:val="0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9E4660"/>
    <w:multiLevelType w:val="hybridMultilevel"/>
    <w:tmpl w:val="13E0C4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4">
    <w:name w:val="Колонтитул_"/>
    <w:basedOn w:val="a0"/>
    <w:link w:val="0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a5">
    <w:name w:val="Колонтитул"/>
    <w:basedOn w:val="a4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80" w:after="540" w:line="349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0">
    <w:name w:val="Колонтитул0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7"/>
      <w:szCs w:val="17"/>
      <w:lang w:eastAsia="en-US" w:bidi="ar-SA"/>
    </w:rPr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customStyle="1" w:styleId="12">
    <w:name w:val="Заголовок 12"/>
    <w:basedOn w:val="1"/>
    <w:link w:val="120"/>
    <w:qFormat/>
    <w:pPr>
      <w:keepNext w:val="0"/>
      <w:keepLines w:val="0"/>
      <w:spacing w:after="120"/>
      <w:jc w:val="center"/>
    </w:pPr>
    <w:rPr>
      <w:rFonts w:ascii="Times New Roman" w:eastAsia="Times New Roman" w:hAnsi="Times New Roman" w:cs="Times New Roman"/>
      <w:b/>
      <w:color w:val="000000"/>
      <w:kern w:val="32"/>
      <w:sz w:val="24"/>
      <w:szCs w:val="24"/>
      <w:lang w:bidi="ar-SA"/>
    </w:rPr>
  </w:style>
  <w:style w:type="paragraph" w:customStyle="1" w:styleId="121">
    <w:name w:val="Текст 12"/>
    <w:basedOn w:val="a"/>
    <w:link w:val="122"/>
    <w:qFormat/>
    <w:pPr>
      <w:ind w:firstLine="709"/>
      <w:jc w:val="both"/>
    </w:pPr>
    <w:rPr>
      <w:rFonts w:ascii="Times New Roman" w:eastAsia="Times New Roman" w:hAnsi="Times New Roman" w:cs="Times New Roman"/>
    </w:rPr>
  </w:style>
  <w:style w:type="character" w:customStyle="1" w:styleId="120">
    <w:name w:val="Заголовок 12 Знак"/>
    <w:basedOn w:val="a0"/>
    <w:link w:val="12"/>
    <w:rPr>
      <w:rFonts w:ascii="Times New Roman" w:eastAsia="Times New Roman" w:hAnsi="Times New Roman" w:cs="Times New Roman"/>
      <w:b/>
      <w:color w:val="000000"/>
      <w:kern w:val="32"/>
      <w:sz w:val="24"/>
      <w:szCs w:val="24"/>
      <w:lang w:eastAsia="ru-RU"/>
    </w:rPr>
  </w:style>
  <w:style w:type="character" w:customStyle="1" w:styleId="122">
    <w:name w:val="Текст 12 Знак"/>
    <w:basedOn w:val="a0"/>
    <w:link w:val="121"/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  <w:style w:type="table" w:styleId="a8">
    <w:name w:val="Table Grid"/>
    <w:basedOn w:val="a1"/>
    <w:uiPriority w:val="39"/>
    <w:unhideWhenUsed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 w:bidi="ru-RU"/>
    </w:rPr>
  </w:style>
  <w:style w:type="paragraph" w:styleId="a9">
    <w:name w:val="Balloon Text"/>
    <w:basedOn w:val="a"/>
    <w:link w:val="aa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4">
    <w:name w:val="Колонтитул_"/>
    <w:basedOn w:val="a0"/>
    <w:link w:val="0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a5">
    <w:name w:val="Колонтитул"/>
    <w:basedOn w:val="a4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80" w:after="540" w:line="349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0">
    <w:name w:val="Колонтитул0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7"/>
      <w:szCs w:val="17"/>
      <w:lang w:eastAsia="en-US" w:bidi="ar-SA"/>
    </w:rPr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customStyle="1" w:styleId="12">
    <w:name w:val="Заголовок 12"/>
    <w:basedOn w:val="1"/>
    <w:link w:val="120"/>
    <w:qFormat/>
    <w:pPr>
      <w:keepNext w:val="0"/>
      <w:keepLines w:val="0"/>
      <w:spacing w:after="120"/>
      <w:jc w:val="center"/>
    </w:pPr>
    <w:rPr>
      <w:rFonts w:ascii="Times New Roman" w:eastAsia="Times New Roman" w:hAnsi="Times New Roman" w:cs="Times New Roman"/>
      <w:b/>
      <w:color w:val="000000"/>
      <w:kern w:val="32"/>
      <w:sz w:val="24"/>
      <w:szCs w:val="24"/>
      <w:lang w:bidi="ar-SA"/>
    </w:rPr>
  </w:style>
  <w:style w:type="paragraph" w:customStyle="1" w:styleId="121">
    <w:name w:val="Текст 12"/>
    <w:basedOn w:val="a"/>
    <w:link w:val="122"/>
    <w:qFormat/>
    <w:pPr>
      <w:ind w:firstLine="709"/>
      <w:jc w:val="both"/>
    </w:pPr>
    <w:rPr>
      <w:rFonts w:ascii="Times New Roman" w:eastAsia="Times New Roman" w:hAnsi="Times New Roman" w:cs="Times New Roman"/>
    </w:rPr>
  </w:style>
  <w:style w:type="character" w:customStyle="1" w:styleId="120">
    <w:name w:val="Заголовок 12 Знак"/>
    <w:basedOn w:val="a0"/>
    <w:link w:val="12"/>
    <w:rPr>
      <w:rFonts w:ascii="Times New Roman" w:eastAsia="Times New Roman" w:hAnsi="Times New Roman" w:cs="Times New Roman"/>
      <w:b/>
      <w:color w:val="000000"/>
      <w:kern w:val="32"/>
      <w:sz w:val="24"/>
      <w:szCs w:val="24"/>
      <w:lang w:eastAsia="ru-RU"/>
    </w:rPr>
  </w:style>
  <w:style w:type="character" w:customStyle="1" w:styleId="122">
    <w:name w:val="Текст 12 Знак"/>
    <w:basedOn w:val="a0"/>
    <w:link w:val="121"/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  <w:style w:type="table" w:styleId="a8">
    <w:name w:val="Table Grid"/>
    <w:basedOn w:val="a1"/>
    <w:uiPriority w:val="39"/>
    <w:unhideWhenUsed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 w:bidi="ru-RU"/>
    </w:rPr>
  </w:style>
  <w:style w:type="paragraph" w:styleId="a9">
    <w:name w:val="Balloon Text"/>
    <w:basedOn w:val="a"/>
    <w:link w:val="aa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z.kis.gov.spb.ru/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Байкина Анна Анатольевна</dc:creator>
  <cp:lastModifiedBy>Яцко Анатолий Сергеевич</cp:lastModifiedBy>
  <cp:revision>2</cp:revision>
  <dcterms:created xsi:type="dcterms:W3CDTF">2020-02-14T15:19:00Z</dcterms:created>
  <dcterms:modified xsi:type="dcterms:W3CDTF">2020-02-14T15:19:00Z</dcterms:modified>
</cp:coreProperties>
</file>